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FlyWorld — complete project handoff</w:t>
      </w:r>
    </w:p>
    <w:p>
      <w:pPr>
        <w:keepNext w:val="0"/>
      </w:pPr>
      <w:r>
        <w:t>Orbofi agent edition · 8 September 2026 · Handoff 4 · Flight update</w:t>
      </w:r>
    </w:p>
    <w:p>
      <w:pPr>
        <w:pStyle w:val="Heading1"/>
      </w:pPr>
      <w:r>
        <w:t>Read this first</w:t>
      </w:r>
    </w:p>
    <w:p>
      <w:pPr>
        <w:keepNext w:val="0"/>
      </w:pPr>
      <w:r>
        <w:t>FlyWorld is a browser-based 3D apartment containing twelve individually selectable fruit-fly agents, plus a separate experimental neural simulator using official MaleCNS connectivity. The intended destination is an Orbofi agent that can download, inspect, extend and host the project. No Orbofi integration, on-chain publication or paid GPU provisioning has been performed.</w:t>
      </w:r>
    </w:p>
    <w:p>
      <w:pPr>
        <w:keepNext w:val="0"/>
      </w:pPr>
      <w:r>
        <w:t>This package includes the Flight update over the Sunlit Loft rebuild. See FLIGHT-UPDATE.md for performance, visibility, feeding and inspector changes and BROWSER-QA.md for observed browser checks. The connection task is included in the app and in dist/ORBOFI-CONNECTION-TASK.md.</w:t>
      </w:r>
    </w:p>
    <w:p>
      <w:pPr>
        <w:keepNext w:val="0"/>
      </w:pPr>
      <w:r>
        <w:rPr>
          <w:b/>
        </w:rPr>
        <w:t>Delivery status:</w:t>
      </w:r>
      <w:r>
        <w:t xml:space="preserve"> the previous Sunlit Loft release was published as Site version 5. This package contains its subsequent Flight update; publication is tracked by the Site's version history. The compatibility view and combined inspector were checked in the supported browser. Hardware WebGL and CUDA remain unverified. No neural endpoint is deployed or configured yet.</w:t>
      </w:r>
    </w:p>
    <w:p>
      <w:pPr>
        <w:keepNext w:val="0"/>
      </w:pPr>
      <w:r>
        <w:rPr>
          <w:b/>
        </w:rPr>
        <w:t>Existing Site:</w:t>
      </w:r>
      <w:r>
        <w:t xml:space="preserve"> https://flyworld-apartment.wis00.chatgpt.site</w:t>
      </w:r>
    </w:p>
    <w:p>
      <w:pPr>
        <w:keepNext w:val="0"/>
      </w:pPr>
      <w:r>
        <w:rPr>
          <w:b/>
        </w:rPr>
        <w:t>Baseline before Flight update:</w:t>
      </w:r>
      <w:r>
        <w:t xml:space="preserve"> </w:t>
      </w:r>
      <w:r>
        <w:rPr>
          <w:rFonts w:ascii="DejaVu Sans Mono" w:hAnsi="DejaVu Sans Mono"/>
          <w:sz w:val="18"/>
        </w:rPr>
        <w:t>cdf1df2</w:t>
      </w:r>
      <w:r>
        <w:t>. The release archive includes exact file checksums.</w:t>
      </w:r>
    </w:p>
    <w:p>
      <w:pPr>
        <w:keepNext w:val="0"/>
      </w:pPr>
      <w:r>
        <w:t xml:space="preserve">The portable archive includes source and research results, but excludes bulk connectome data, credentials, checkpoints, dependencies, Git metadata and the existing Site's hosting identity. Import the research data separately. The archive's </w:t>
      </w:r>
      <w:r>
        <w:rPr>
          <w:rFonts w:ascii="DejaVu Sans Mono" w:hAnsi="DejaVu Sans Mono"/>
          <w:sz w:val="18"/>
        </w:rPr>
        <w:t>SHA256SUMS</w:t>
      </w:r>
      <w:r>
        <w:t xml:space="preserve"> identifies the delivered file bytes.</w:t>
      </w:r>
    </w:p>
    <w:p>
      <w:pPr>
        <w:pStyle w:val="Heading2"/>
      </w:pPr>
      <w:r>
        <w:t>What works now</w:t>
      </w:r>
    </w:p>
    <w:p>
      <w:pPr>
        <w:pStyle w:val="BulletGuide"/>
        <w:numPr>
          <w:ilvl w:val="0"/>
          <w:numId w:val="80"/>
        </w:numPr>
      </w:pPr>
      <w:r>
        <w:t>Cutaway apartment with kitchen, cabinets, furniture, plants, food props and twelve fly bodies.</w:t>
      </w:r>
    </w:p>
    <w:p>
      <w:pPr>
        <w:pStyle w:val="BulletGuide"/>
        <w:numPr>
          <w:ilvl w:val="0"/>
          <w:numId w:val="80"/>
        </w:numPr>
      </w:pPr>
      <w:r>
        <w:t>Orbit, follow and desktop walk modes; fly selection and resident inspector.</w:t>
      </w:r>
    </w:p>
    <w:p>
      <w:pPr>
        <w:pStyle w:val="BulletGuide"/>
        <w:numPr>
          <w:ilvl w:val="0"/>
          <w:numId w:val="80"/>
        </w:numPr>
      </w:pPr>
      <w:r>
        <w:t>Banana, fish and meat placement with explicit experimental odor strengths; approach, capture, lighting, pause, reset and local trails.</w:t>
      </w:r>
    </w:p>
    <w:p>
      <w:pPr>
        <w:pStyle w:val="BulletGuide"/>
        <w:numPr>
          <w:ilvl w:val="0"/>
          <w:numId w:val="80"/>
        </w:numPr>
      </w:pPr>
      <w:r>
        <w:t>A clearly labeled local procedural demo that does not require the neural server.</w:t>
      </w:r>
    </w:p>
    <w:p>
      <w:pPr>
        <w:pStyle w:val="BulletGuide"/>
        <w:numPr>
          <w:ilvl w:val="0"/>
          <w:numId w:val="80"/>
        </w:numPr>
      </w:pPr>
      <w:r>
        <w:t>WebGL2 rendering with a Canvas software 3D fallback when WebGL cannot start.</w:t>
      </w:r>
    </w:p>
    <w:p>
      <w:pPr>
        <w:pStyle w:val="BulletGuide"/>
        <w:numPr>
          <w:ilvl w:val="0"/>
          <w:numId w:val="80"/>
        </w:numPr>
      </w:pPr>
      <w:r>
        <w:t>Official MaleCNS importer, independent neural states, CPU engine, experimental CUDA path, authenticated WebSocket server, checkpoints and experiment tools.</w:t>
      </w:r>
    </w:p>
    <w:p>
      <w:pPr>
        <w:pStyle w:val="BulletGuide"/>
        <w:numPr>
          <w:ilvl w:val="0"/>
          <w:numId w:val="80"/>
        </w:numPr>
      </w:pPr>
      <w:r>
        <w:t>A saved research page plus a combined body and measured-activity inspector using 1,430 source-derived soma coordinates and 22 annotation populations.</w:t>
      </w:r>
    </w:p>
    <w:p>
      <w:pPr>
        <w:pStyle w:val="BulletGuide"/>
        <w:numPr>
          <w:ilvl w:val="0"/>
          <w:numId w:val="80"/>
        </w:numPr>
      </w:pPr>
      <w:r>
        <w:t>Bundled wood/plaster/fabric maps, rebuilt furniture, shaped fly wings, warm WebGL lamps, RGB software texture sampling and static software shadows.</w:t>
      </w:r>
    </w:p>
    <w:p>
      <w:pPr>
        <w:pStyle w:val="BulletGuide"/>
        <w:numPr>
          <w:ilvl w:val="0"/>
          <w:numId w:val="80"/>
        </w:numPr>
      </w:pPr>
      <w:r>
        <w:t>Faster world meshes, brighter resident colors, interpolated local motion and bounded feeding visits.</w:t>
      </w:r>
    </w:p>
    <w:p>
      <w:pPr>
        <w:pStyle w:val="BulletGuide"/>
        <w:numPr>
          <w:ilvl w:val="0"/>
          <w:numId w:val="80"/>
        </w:numPr>
      </w:pPr>
      <w:r>
        <w:t>Direct brain connection setup, a downloadable Orbofi task and a public endpoint configuration script.</w:t>
      </w:r>
    </w:p>
    <w:p>
      <w:pPr>
        <w:pStyle w:val="Heading2"/>
      </w:pPr>
      <w:r>
        <w:t>What is not implemented yet</w:t>
      </w:r>
    </w:p>
    <w:p>
      <w:pPr>
        <w:keepNext w:val="0"/>
      </w:pPr>
      <w:r>
        <w:t>Photorealistic rendering, chemically calibrated food discrimination, neuropil-region meshes and activity, retinal vision, calibrated natural behavior, articulated walking, realistic aerodynamic flight, aging, learning and a biological society are not implemented. The twelve states share the anatomy of one adult male specimen.</w:t>
      </w:r>
    </w:p>
    <w:p>
      <w:pPr>
        <w:pStyle w:val="Heading1"/>
      </w:pPr>
      <w:r>
        <w:t>Architecture and file map</w:t>
      </w:r>
    </w:p>
    <w:p>
      <w:pPr>
        <w:keepNext w:val="0"/>
      </w:pPr>
      <w:r>
        <w:t>The browser owns rendering and user controls. In local demo mode it also owns procedural fly behavior. In neural mode, commands travel over WebSocket to one Python server; the server computes sensory input, updates twelve independent neural states, translates selected neural readouts into simplified body movement, and returns the authoritative world state. Browser clients do not run the full connectome.</w:t>
      </w:r>
    </w:p>
    <w:tbl>
      <w:tblPr>
        <w:tblLayout w:type="fixed"/>
        <w:tblLook w:firstColumn="1" w:firstRow="1" w:lastColumn="0" w:lastRow="0" w:noHBand="0" w:noVBand="1" w:val="04A0"/>
        <w:tblW w:w="9360" w:type="dxa"/>
        <w:tblInd w:w="120" w:type="dxa"/>
        <w:tblCellMar>
          <w:top w:w="80" w:type="dxa"/>
          <w:bottom w:w="80" w:type="dxa"/>
          <w:start w:w="120" w:type="dxa"/>
          <w:end w:w="120" w:type="dxa"/>
        </w:tblCellMar>
        <w:tblBorders>
          <w:top w:val="single" w:sz="4" w:color="CFD8DF"/>
          <w:left w:val="single" w:sz="4" w:color="CFD8DF"/>
          <w:bottom w:val="single" w:sz="4" w:color="CFD8DF"/>
          <w:right w:val="single" w:sz="4" w:color="CFD8DF"/>
          <w:insideH w:val="single" w:sz="4" w:color="CFD8DF"/>
          <w:insideV w:val="single" w:sz="4" w:color="CFD8DF"/>
        </w:tblBorders>
      </w:tblPr>
      <w:tblGrid>
        <w:gridCol w:w="4100"/>
        <w:gridCol w:w="5260"/>
      </w:tblGrid>
      <w:tr>
        <w:trPr>
          <w:cantSplit/>
          <w:tblHeader/>
        </w:trPr>
        <w:tc>
          <w:tcPr>
            <w:tcW w:type="dxa" w:w="4100"/>
            <w:shd w:fill="E8EEF5"/>
          </w:tcPr>
          <w:p>
            <w:pPr>
              <w:pStyle w:val="TableText"/>
            </w:pPr>
            <w:r>
              <w:rPr>
                <w:b/>
              </w:rPr>
              <w:t>File or directory</w:t>
            </w:r>
          </w:p>
        </w:tc>
        <w:tc>
          <w:tcPr>
            <w:tcW w:type="dxa" w:w="5260"/>
            <w:shd w:fill="E8EEF5"/>
          </w:tcPr>
          <w:p>
            <w:pPr>
              <w:pStyle w:val="TableText"/>
            </w:pPr>
            <w:r>
              <w:rPr>
                <w:b/>
              </w:rPr>
              <w:t>Responsibility</w:t>
            </w:r>
          </w:p>
        </w:tc>
      </w:tr>
      <w:tr>
        <w:trPr>
          <w:cantSplit/>
        </w:trPr>
        <w:tc>
          <w:tcPr>
            <w:tcW w:type="dxa" w:w="4100"/>
          </w:tcPr>
          <w:p>
            <w:pPr>
              <w:pStyle w:val="TableText"/>
            </w:pPr>
            <w:r>
              <w:rPr>
                <w:rFonts w:ascii="DejaVu Sans Mono" w:hAnsi="DejaVu Sans Mono"/>
                <w:sz w:val="18"/>
              </w:rPr>
              <w:t>dist/index.html</w:t>
            </w:r>
            <w:r>
              <w:t xml:space="preserve">, </w:t>
            </w:r>
            <w:r>
              <w:rPr>
                <w:rFonts w:ascii="DejaVu Sans Mono" w:hAnsi="DejaVu Sans Mono"/>
                <w:sz w:val="18"/>
              </w:rPr>
              <w:t>style.css</w:t>
            </w:r>
          </w:p>
        </w:tc>
        <w:tc>
          <w:tcPr>
            <w:tcW w:type="dxa" w:w="5260"/>
          </w:tcPr>
          <w:p>
            <w:pPr>
              <w:pStyle w:val="TableText"/>
            </w:pPr>
            <w:r>
              <w:t>Apartment interface, inspector and controls</w:t>
            </w:r>
          </w:p>
        </w:tc>
      </w:tr>
      <w:tr>
        <w:trPr>
          <w:cantSplit/>
        </w:trPr>
        <w:tc>
          <w:tcPr>
            <w:tcW w:type="dxa" w:w="4100"/>
          </w:tcPr>
          <w:p>
            <w:pPr>
              <w:pStyle w:val="TableText"/>
            </w:pPr>
            <w:r>
              <w:rPr>
                <w:rFonts w:ascii="DejaVu Sans Mono" w:hAnsi="DejaVu Sans Mono"/>
                <w:sz w:val="18"/>
              </w:rPr>
              <w:t>dist/app.js</w:t>
            </w:r>
          </w:p>
        </w:tc>
        <w:tc>
          <w:tcPr>
            <w:tcW w:type="dxa" w:w="5260"/>
          </w:tcPr>
          <w:p>
            <w:pPr>
              <w:pStyle w:val="TableText"/>
            </w:pPr>
            <w:r>
              <w:t>Scene setup, cameras, animation and WebSocket client</w:t>
            </w:r>
          </w:p>
        </w:tc>
      </w:tr>
      <w:tr>
        <w:trPr>
          <w:cantSplit/>
        </w:trPr>
        <w:tc>
          <w:tcPr>
            <w:tcW w:type="dxa" w:w="4100"/>
          </w:tcPr>
          <w:p>
            <w:pPr>
              <w:pStyle w:val="TableText"/>
            </w:pPr>
            <w:r>
              <w:rPr>
                <w:rFonts w:ascii="DejaVu Sans Mono" w:hAnsi="DejaVu Sans Mono"/>
                <w:sz w:val="18"/>
              </w:rPr>
              <w:t>dist/scene.js</w:t>
            </w:r>
            <w:r>
              <w:t xml:space="preserve">, </w:t>
            </w:r>
            <w:r>
              <w:rPr>
                <w:rFonts w:ascii="DejaVu Sans Mono" w:hAnsi="DejaVu Sans Mono"/>
                <w:sz w:val="18"/>
              </w:rPr>
              <w:t>fly-model.js</w:t>
            </w:r>
          </w:p>
        </w:tc>
        <w:tc>
          <w:tcPr>
            <w:tcW w:type="dxa" w:w="5260"/>
          </w:tcPr>
          <w:p>
            <w:pPr>
              <w:pStyle w:val="TableText"/>
            </w:pPr>
            <w:r>
              <w:t>Apartment/food, detailed portrait and shared world-fly geometry</w:t>
            </w:r>
          </w:p>
        </w:tc>
      </w:tr>
      <w:tr>
        <w:trPr>
          <w:cantSplit/>
        </w:trPr>
        <w:tc>
          <w:tcPr>
            <w:tcW w:type="dxa" w:w="4100"/>
          </w:tcPr>
          <w:p>
            <w:pPr>
              <w:pStyle w:val="TableText"/>
            </w:pPr>
            <w:r>
              <w:rPr>
                <w:rFonts w:ascii="DejaVu Sans Mono" w:hAnsi="DejaVu Sans Mono"/>
                <w:sz w:val="18"/>
              </w:rPr>
              <w:t>dist/rendering.js</w:t>
            </w:r>
          </w:p>
        </w:tc>
        <w:tc>
          <w:tcPr>
            <w:tcW w:type="dxa" w:w="5260"/>
          </w:tcPr>
          <w:p>
            <w:pPr>
              <w:pStyle w:val="TableText"/>
            </w:pPr>
            <w:r>
              <w:t>WebGL startup and CPU compatibility renderer</w:t>
            </w:r>
          </w:p>
        </w:tc>
      </w:tr>
      <w:tr>
        <w:trPr>
          <w:cantSplit/>
        </w:trPr>
        <w:tc>
          <w:tcPr>
            <w:tcW w:type="dxa" w:w="4100"/>
          </w:tcPr>
          <w:p>
            <w:pPr>
              <w:pStyle w:val="TableText"/>
            </w:pPr>
            <w:r>
              <w:rPr>
                <w:rFonts w:ascii="DejaVu Sans Mono" w:hAnsi="DejaVu Sans Mono"/>
                <w:sz w:val="18"/>
              </w:rPr>
              <w:t>dist/simulation.js</w:t>
            </w:r>
            <w:r>
              <w:t xml:space="preserve">, </w:t>
            </w:r>
            <w:r>
              <w:rPr>
                <w:rFonts w:ascii="DejaVu Sans Mono" w:hAnsi="DejaVu Sans Mono"/>
                <w:sz w:val="18"/>
              </w:rPr>
              <w:t>food.js</w:t>
            </w:r>
          </w:p>
        </w:tc>
        <w:tc>
          <w:tcPr>
            <w:tcW w:type="dxa" w:w="5260"/>
          </w:tcPr>
          <w:p>
            <w:pPr>
              <w:pStyle w:val="TableText"/>
            </w:pPr>
            <w:r>
              <w:t>Seeded procedural behavior and typed food assumptions</w:t>
            </w:r>
          </w:p>
        </w:tc>
      </w:tr>
      <w:tr>
        <w:trPr>
          <w:cantSplit/>
        </w:trPr>
        <w:tc>
          <w:tcPr>
            <w:tcW w:type="dxa" w:w="4100"/>
          </w:tcPr>
          <w:p>
            <w:pPr>
              <w:pStyle w:val="TableText"/>
            </w:pPr>
            <w:r>
              <w:rPr>
                <w:rFonts w:ascii="DejaVu Sans Mono" w:hAnsi="DejaVu Sans Mono"/>
                <w:sz w:val="18"/>
              </w:rPr>
              <w:t>dist/materials.js</w:t>
            </w:r>
          </w:p>
        </w:tc>
        <w:tc>
          <w:tcPr>
            <w:tcW w:type="dxa" w:w="5260"/>
          </w:tcPr>
          <w:p>
            <w:pPr>
              <w:pStyle w:val="TableText"/>
            </w:pPr>
            <w:r>
              <w:t>Local scanned maps, procedural maps and rounded geometry</w:t>
            </w:r>
          </w:p>
        </w:tc>
      </w:tr>
      <w:tr>
        <w:trPr>
          <w:cantSplit/>
        </w:trPr>
        <w:tc>
          <w:tcPr>
            <w:tcW w:type="dxa" w:w="4100"/>
          </w:tcPr>
          <w:p>
            <w:pPr>
              <w:pStyle w:val="TableText"/>
            </w:pPr>
            <w:r>
              <w:rPr>
                <w:rFonts w:ascii="DejaVu Sans Mono" w:hAnsi="DejaVu Sans Mono"/>
                <w:sz w:val="18"/>
              </w:rPr>
              <w:t>dist/lighting.js</w:t>
            </w:r>
          </w:p>
        </w:tc>
        <w:tc>
          <w:tcPr>
            <w:tcW w:type="dxa" w:w="5260"/>
          </w:tcPr>
          <w:p>
            <w:pPr>
              <w:pStyle w:val="TableText"/>
            </w:pPr>
            <w:r>
              <w:t>Static directional shadow map for the software path</w:t>
            </w:r>
          </w:p>
        </w:tc>
      </w:tr>
      <w:tr>
        <w:trPr>
          <w:cantSplit/>
        </w:trPr>
        <w:tc>
          <w:tcPr>
            <w:tcW w:type="dxa" w:w="4100"/>
          </w:tcPr>
          <w:p>
            <w:pPr>
              <w:pStyle w:val="TableText"/>
            </w:pPr>
            <w:r>
              <w:rPr>
                <w:rFonts w:ascii="DejaVu Sans Mono" w:hAnsi="DejaVu Sans Mono"/>
                <w:sz w:val="18"/>
              </w:rPr>
              <w:t>configure_neural.py</w:t>
            </w:r>
          </w:p>
        </w:tc>
        <w:tc>
          <w:tcPr>
            <w:tcW w:type="dxa" w:w="5260"/>
          </w:tcPr>
          <w:p>
            <w:pPr>
              <w:pStyle w:val="TableText"/>
            </w:pPr>
            <w:r>
              <w:t>Set the deployed neural endpoint without secrets</w:t>
            </w:r>
          </w:p>
        </w:tc>
      </w:tr>
      <w:tr>
        <w:trPr>
          <w:cantSplit/>
        </w:trPr>
        <w:tc>
          <w:tcPr>
            <w:tcW w:type="dxa" w:w="4100"/>
          </w:tcPr>
          <w:p>
            <w:pPr>
              <w:pStyle w:val="TableText"/>
            </w:pPr>
            <w:r>
              <w:rPr>
                <w:rFonts w:ascii="DejaVu Sans Mono" w:hAnsi="DejaVu Sans Mono"/>
                <w:sz w:val="18"/>
              </w:rPr>
              <w:t>dist/ORBOFI-CONNECTION-TASK.md</w:t>
            </w:r>
          </w:p>
        </w:tc>
        <w:tc>
          <w:tcPr>
            <w:tcW w:type="dxa" w:w="5260"/>
          </w:tcPr>
          <w:p>
            <w:pPr>
              <w:pStyle w:val="TableText"/>
            </w:pPr>
            <w:r>
              <w:t>Executable deployment and connection handoff</w:t>
            </w:r>
          </w:p>
        </w:tc>
      </w:tr>
      <w:tr>
        <w:trPr>
          <w:cantSplit/>
        </w:trPr>
        <w:tc>
          <w:tcPr>
            <w:tcW w:type="dxa" w:w="4100"/>
          </w:tcPr>
          <w:p>
            <w:pPr>
              <w:pStyle w:val="TableText"/>
            </w:pPr>
            <w:r>
              <w:rPr>
                <w:rFonts w:ascii="DejaVu Sans Mono" w:hAnsi="DejaVu Sans Mono"/>
                <w:sz w:val="18"/>
              </w:rPr>
              <w:t>dist/brain.js</w:t>
            </w:r>
            <w:r>
              <w:t xml:space="preserve">, </w:t>
            </w:r>
            <w:r>
              <w:rPr>
                <w:rFonts w:ascii="DejaVu Sans Mono" w:hAnsi="DejaVu Sans Mono"/>
                <w:sz w:val="18"/>
              </w:rPr>
              <w:t>sha256.js</w:t>
            </w:r>
          </w:p>
        </w:tc>
        <w:tc>
          <w:tcPr>
            <w:tcW w:type="dxa" w:w="5260"/>
          </w:tcPr>
          <w:p>
            <w:pPr>
              <w:pStyle w:val="TableText"/>
            </w:pPr>
            <w:r>
              <w:t>Anatomical inspector and portable atlas verification</w:t>
            </w:r>
          </w:p>
        </w:tc>
      </w:tr>
      <w:tr>
        <w:trPr>
          <w:cantSplit/>
        </w:trPr>
        <w:tc>
          <w:tcPr>
            <w:tcW w:type="dxa" w:w="4100"/>
          </w:tcPr>
          <w:p>
            <w:pPr>
              <w:pStyle w:val="TableText"/>
            </w:pPr>
            <w:r>
              <w:rPr>
                <w:rFonts w:ascii="DejaVu Sans Mono" w:hAnsi="DejaVu Sans Mono"/>
                <w:sz w:val="18"/>
              </w:rPr>
              <w:t>dist/assets/brain-atlas.json</w:t>
            </w:r>
          </w:p>
        </w:tc>
        <w:tc>
          <w:tcPr>
            <w:tcW w:type="dxa" w:w="5260"/>
          </w:tcPr>
          <w:p>
            <w:pPr>
              <w:pStyle w:val="TableText"/>
            </w:pPr>
            <w:r>
              <w:t>Observed MaleCNS soma sample with provenance</w:t>
            </w:r>
          </w:p>
        </w:tc>
      </w:tr>
      <w:tr>
        <w:trPr>
          <w:cantSplit/>
        </w:trPr>
        <w:tc>
          <w:tcPr>
            <w:tcW w:type="dxa" w:w="4100"/>
          </w:tcPr>
          <w:p>
            <w:pPr>
              <w:pStyle w:val="TableText"/>
            </w:pPr>
            <w:r>
              <w:rPr>
                <w:rFonts w:ascii="DejaVu Sans Mono" w:hAnsi="DejaVu Sans Mono"/>
                <w:sz w:val="18"/>
              </w:rPr>
              <w:t>backend/build_brain_atlas.py</w:t>
            </w:r>
          </w:p>
        </w:tc>
        <w:tc>
          <w:tcPr>
            <w:tcW w:type="dxa" w:w="5260"/>
          </w:tcPr>
          <w:p>
            <w:pPr>
              <w:pStyle w:val="TableText"/>
            </w:pPr>
            <w:r>
              <w:t>Build matching display and telemetry mappings</w:t>
            </w:r>
          </w:p>
        </w:tc>
      </w:tr>
      <w:tr>
        <w:trPr>
          <w:cantSplit/>
        </w:trPr>
        <w:tc>
          <w:tcPr>
            <w:tcW w:type="dxa" w:w="4100"/>
          </w:tcPr>
          <w:p>
            <w:pPr>
              <w:pStyle w:val="TableText"/>
            </w:pPr>
            <w:r>
              <w:rPr>
                <w:rFonts w:ascii="DejaVu Sans Mono" w:hAnsi="DejaVu Sans Mono"/>
                <w:sz w:val="18"/>
              </w:rPr>
              <w:t>dist/research.html</w:t>
            </w:r>
            <w:r>
              <w:t xml:space="preserve">, </w:t>
            </w:r>
            <w:r>
              <w:rPr>
                <w:rFonts w:ascii="DejaVu Sans Mono" w:hAnsi="DejaVu Sans Mono"/>
                <w:sz w:val="18"/>
              </w:rPr>
              <w:t>evidence/</w:t>
            </w:r>
          </w:p>
        </w:tc>
        <w:tc>
          <w:tcPr>
            <w:tcW w:type="dxa" w:w="5260"/>
          </w:tcPr>
          <w:p>
            <w:pPr>
              <w:pStyle w:val="TableText"/>
            </w:pPr>
            <w:r>
              <w:t>Saved research report and downloadable results</w:t>
            </w:r>
          </w:p>
        </w:tc>
      </w:tr>
      <w:tr>
        <w:trPr>
          <w:cantSplit/>
        </w:trPr>
        <w:tc>
          <w:tcPr>
            <w:tcW w:type="dxa" w:w="4100"/>
          </w:tcPr>
          <w:p>
            <w:pPr>
              <w:pStyle w:val="TableText"/>
            </w:pPr>
            <w:r>
              <w:rPr>
                <w:rFonts w:ascii="DejaVu Sans Mono" w:hAnsi="DejaVu Sans Mono"/>
                <w:sz w:val="18"/>
              </w:rPr>
              <w:t>dist/vendor/</w:t>
            </w:r>
          </w:p>
        </w:tc>
        <w:tc>
          <w:tcPr>
            <w:tcW w:type="dxa" w:w="5260"/>
          </w:tcPr>
          <w:p>
            <w:pPr>
              <w:pStyle w:val="TableText"/>
            </w:pPr>
            <w:r>
              <w:t>Pinned Three.js 0.180.0 and OrbitControls</w:t>
            </w:r>
          </w:p>
        </w:tc>
      </w:tr>
      <w:tr>
        <w:trPr>
          <w:cantSplit/>
        </w:trPr>
        <w:tc>
          <w:tcPr>
            <w:tcW w:type="dxa" w:w="4100"/>
          </w:tcPr>
          <w:p>
            <w:pPr>
              <w:pStyle w:val="TableText"/>
            </w:pPr>
            <w:r>
              <w:rPr>
                <w:rFonts w:ascii="DejaVu Sans Mono" w:hAnsi="DejaVu Sans Mono"/>
                <w:sz w:val="18"/>
              </w:rPr>
              <w:t>backend/import_malecns.py</w:t>
            </w:r>
          </w:p>
        </w:tc>
        <w:tc>
          <w:tcPr>
            <w:tcW w:type="dxa" w:w="5260"/>
          </w:tcPr>
          <w:p>
            <w:pPr>
              <w:pStyle w:val="TableText"/>
            </w:pPr>
            <w:r>
              <w:t>Download, filter, sign and index MaleCNS data</w:t>
            </w:r>
          </w:p>
        </w:tc>
      </w:tr>
      <w:tr>
        <w:trPr>
          <w:cantSplit/>
        </w:trPr>
        <w:tc>
          <w:tcPr>
            <w:tcW w:type="dxa" w:w="4100"/>
          </w:tcPr>
          <w:p>
            <w:pPr>
              <w:pStyle w:val="TableText"/>
            </w:pPr>
            <w:r>
              <w:rPr>
                <w:rFonts w:ascii="DejaVu Sans Mono" w:hAnsi="DejaVu Sans Mono"/>
                <w:sz w:val="18"/>
              </w:rPr>
              <w:t>backend/engine.py</w:t>
            </w:r>
          </w:p>
        </w:tc>
        <w:tc>
          <w:tcPr>
            <w:tcW w:type="dxa" w:w="5260"/>
          </w:tcPr>
          <w:p>
            <w:pPr>
              <w:pStyle w:val="TableText"/>
            </w:pPr>
            <w:r>
              <w:t>Batched experimental LIF dynamics and snapshots</w:t>
            </w:r>
          </w:p>
        </w:tc>
      </w:tr>
      <w:tr>
        <w:trPr>
          <w:cantSplit/>
        </w:trPr>
        <w:tc>
          <w:tcPr>
            <w:tcW w:type="dxa" w:w="4100"/>
          </w:tcPr>
          <w:p>
            <w:pPr>
              <w:pStyle w:val="TableText"/>
            </w:pPr>
            <w:r>
              <w:rPr>
                <w:rFonts w:ascii="DejaVu Sans Mono" w:hAnsi="DejaVu Sans Mono"/>
                <w:sz w:val="18"/>
              </w:rPr>
              <w:t>backend/world.py</w:t>
            </w:r>
          </w:p>
        </w:tc>
        <w:tc>
          <w:tcPr>
            <w:tcW w:type="dxa" w:w="5260"/>
          </w:tcPr>
          <w:p>
            <w:pPr>
              <w:pStyle w:val="TableText"/>
            </w:pPr>
            <w:r>
              <w:t>Sensory fields, simplified movement and world commands</w:t>
            </w:r>
          </w:p>
        </w:tc>
      </w:tr>
      <w:tr>
        <w:trPr>
          <w:cantSplit/>
        </w:trPr>
        <w:tc>
          <w:tcPr>
            <w:tcW w:type="dxa" w:w="4100"/>
          </w:tcPr>
          <w:p>
            <w:pPr>
              <w:pStyle w:val="TableText"/>
            </w:pPr>
            <w:r>
              <w:rPr>
                <w:rFonts w:ascii="DejaVu Sans Mono" w:hAnsi="DejaVu Sans Mono"/>
                <w:sz w:val="18"/>
              </w:rPr>
              <w:t>backend/server.py</w:t>
            </w:r>
          </w:p>
        </w:tc>
        <w:tc>
          <w:tcPr>
            <w:tcW w:type="dxa" w:w="5260"/>
          </w:tcPr>
          <w:p>
            <w:pPr>
              <w:pStyle w:val="TableText"/>
            </w:pPr>
            <w:r>
              <w:t>Authentication, commands, state broadcasts and recovery</w:t>
            </w:r>
          </w:p>
        </w:tc>
      </w:tr>
      <w:tr>
        <w:trPr>
          <w:cantSplit/>
        </w:trPr>
        <w:tc>
          <w:tcPr>
            <w:tcW w:type="dxa" w:w="4100"/>
          </w:tcPr>
          <w:p>
            <w:pPr>
              <w:pStyle w:val="TableText"/>
            </w:pPr>
            <w:r>
              <w:rPr>
                <w:rFonts w:ascii="DejaVu Sans Mono" w:hAnsi="DejaVu Sans Mono"/>
                <w:sz w:val="18"/>
              </w:rPr>
              <w:t>backend/audit_graph.py</w:t>
            </w:r>
          </w:p>
        </w:tc>
        <w:tc>
          <w:tcPr>
            <w:tcW w:type="dxa" w:w="5260"/>
          </w:tcPr>
          <w:p>
            <w:pPr>
              <w:pStyle w:val="TableText"/>
            </w:pPr>
            <w:r>
              <w:t>Original cell IDs, transmitter counts and graph audit</w:t>
            </w:r>
          </w:p>
        </w:tc>
      </w:tr>
      <w:tr>
        <w:trPr>
          <w:cantSplit/>
        </w:trPr>
        <w:tc>
          <w:tcPr>
            <w:tcW w:type="dxa" w:w="4100"/>
          </w:tcPr>
          <w:p>
            <w:pPr>
              <w:pStyle w:val="TableText"/>
            </w:pPr>
            <w:r>
              <w:rPr>
                <w:rFonts w:ascii="DejaVu Sans Mono" w:hAnsi="DejaVu Sans Mono"/>
                <w:sz w:val="18"/>
              </w:rPr>
              <w:t>backend/validate_causality.py</w:t>
            </w:r>
          </w:p>
        </w:tc>
        <w:tc>
          <w:tcPr>
            <w:tcW w:type="dxa" w:w="5260"/>
          </w:tcPr>
          <w:p>
            <w:pPr>
              <w:pStyle w:val="TableText"/>
            </w:pPr>
            <w:r>
              <w:t>Paired network interventions and response traces</w:t>
            </w:r>
          </w:p>
        </w:tc>
      </w:tr>
      <w:tr>
        <w:trPr>
          <w:cantSplit/>
        </w:trPr>
        <w:tc>
          <w:tcPr>
            <w:tcW w:type="dxa" w:w="4100"/>
          </w:tcPr>
          <w:p>
            <w:pPr>
              <w:pStyle w:val="TableText"/>
            </w:pPr>
            <w:r>
              <w:rPr>
                <w:rFonts w:ascii="DejaVu Sans Mono" w:hAnsi="DejaVu Sans Mono"/>
                <w:sz w:val="18"/>
              </w:rPr>
              <w:t>backend/validate_device.py</w:t>
            </w:r>
          </w:p>
        </w:tc>
        <w:tc>
          <w:tcPr>
            <w:tcW w:type="dxa" w:w="5260"/>
          </w:tcPr>
          <w:p>
            <w:pPr>
              <w:pStyle w:val="TableText"/>
            </w:pPr>
            <w:r>
              <w:t>CPU/CUDA numerical comparison; CUDA not yet run</w:t>
            </w:r>
          </w:p>
        </w:tc>
      </w:tr>
      <w:tr>
        <w:trPr>
          <w:cantSplit/>
        </w:trPr>
        <w:tc>
          <w:tcPr>
            <w:tcW w:type="dxa" w:w="4100"/>
          </w:tcPr>
          <w:p>
            <w:pPr>
              <w:pStyle w:val="TableText"/>
            </w:pPr>
            <w:r>
              <w:rPr>
                <w:rFonts w:ascii="DejaVu Sans Mono" w:hAnsi="DejaVu Sans Mono"/>
                <w:sz w:val="18"/>
              </w:rPr>
              <w:t>backend/benchmark.py</w:t>
            </w:r>
          </w:p>
        </w:tc>
        <w:tc>
          <w:tcPr>
            <w:tcW w:type="dxa" w:w="5260"/>
          </w:tcPr>
          <w:p>
            <w:pPr>
              <w:pStyle w:val="TableText"/>
            </w:pPr>
            <w:r>
              <w:t>Throughput, latency and memory measurements</w:t>
            </w:r>
          </w:p>
        </w:tc>
      </w:tr>
      <w:tr>
        <w:trPr>
          <w:cantSplit/>
        </w:trPr>
        <w:tc>
          <w:tcPr>
            <w:tcW w:type="dxa" w:w="4100"/>
          </w:tcPr>
          <w:p>
            <w:pPr>
              <w:pStyle w:val="TableText"/>
            </w:pPr>
            <w:r>
              <w:rPr>
                <w:rFonts w:ascii="DejaVu Sans Mono" w:hAnsi="DejaVu Sans Mono"/>
                <w:sz w:val="18"/>
              </w:rPr>
              <w:t>tests/</w:t>
            </w:r>
          </w:p>
        </w:tc>
        <w:tc>
          <w:tcPr>
            <w:tcW w:type="dxa" w:w="5260"/>
          </w:tcPr>
          <w:p>
            <w:pPr>
              <w:pStyle w:val="TableText"/>
            </w:pPr>
            <w:r>
              <w:t>Neural, server and local-world checks</w:t>
            </w:r>
          </w:p>
        </w:tc>
      </w:tr>
      <w:tr>
        <w:trPr>
          <w:cantSplit/>
        </w:trPr>
        <w:tc>
          <w:tcPr>
            <w:tcW w:type="dxa" w:w="4100"/>
          </w:tcPr>
          <w:p>
            <w:pPr>
              <w:pStyle w:val="TableText"/>
            </w:pPr>
            <w:r>
              <w:rPr>
                <w:rFonts w:ascii="DejaVu Sans Mono" w:hAnsi="DejaVu Sans Mono"/>
                <w:sz w:val="18"/>
              </w:rPr>
              <w:t>docs/</w:t>
            </w:r>
          </w:p>
        </w:tc>
        <w:tc>
          <w:tcPr>
            <w:tcW w:type="dxa" w:w="5260"/>
          </w:tcPr>
          <w:p>
            <w:pPr>
              <w:pStyle w:val="TableText"/>
            </w:pPr>
            <w:r>
              <w:t>Model card, scientific audit, results and handoff</w:t>
            </w:r>
          </w:p>
        </w:tc>
      </w:tr>
      <w:tr>
        <w:trPr>
          <w:cantSplit/>
        </w:trPr>
        <w:tc>
          <w:tcPr>
            <w:tcW w:type="dxa" w:w="4100"/>
          </w:tcPr>
          <w:p>
            <w:pPr>
              <w:pStyle w:val="TableText"/>
            </w:pPr>
            <w:r>
              <w:rPr>
                <w:rFonts w:ascii="DejaVu Sans Mono" w:hAnsi="DejaVu Sans Mono"/>
                <w:sz w:val="18"/>
              </w:rPr>
              <w:t>Dockerfile</w:t>
            </w:r>
            <w:r>
              <w:t xml:space="preserve">, </w:t>
            </w:r>
            <w:r>
              <w:rPr>
                <w:rFonts w:ascii="DejaVu Sans Mono" w:hAnsi="DejaVu Sans Mono"/>
                <w:sz w:val="18"/>
              </w:rPr>
              <w:t>Dockerfile.cuda</w:t>
            </w:r>
          </w:p>
        </w:tc>
        <w:tc>
          <w:tcPr>
            <w:tcW w:type="dxa" w:w="5260"/>
          </w:tcPr>
          <w:p>
            <w:pPr>
              <w:pStyle w:val="TableText"/>
            </w:pPr>
            <w:r>
              <w:t>CPU and CUDA container definitions</w:t>
            </w:r>
          </w:p>
        </w:tc>
      </w:tr>
      <w:tr>
        <w:trPr>
          <w:cantSplit/>
        </w:trPr>
        <w:tc>
          <w:tcPr>
            <w:tcW w:type="dxa" w:w="4100"/>
          </w:tcPr>
          <w:p>
            <w:pPr>
              <w:pStyle w:val="TableText"/>
            </w:pPr>
            <w:r>
              <w:rPr>
                <w:rFonts w:ascii="DejaVu Sans Mono" w:hAnsi="DejaVu Sans Mono"/>
                <w:sz w:val="18"/>
              </w:rPr>
              <w:t>compose.yaml</w:t>
            </w:r>
            <w:r>
              <w:t xml:space="preserve">, </w:t>
            </w:r>
            <w:r>
              <w:rPr>
                <w:rFonts w:ascii="DejaVu Sans Mono" w:hAnsi="DejaVu Sans Mono"/>
                <w:sz w:val="18"/>
              </w:rPr>
              <w:t>Caddyfile.example</w:t>
            </w:r>
          </w:p>
        </w:tc>
        <w:tc>
          <w:tcPr>
            <w:tcW w:type="dxa" w:w="5260"/>
          </w:tcPr>
          <w:p>
            <w:pPr>
              <w:pStyle w:val="TableText"/>
            </w:pPr>
            <w:r>
              <w:t>Example service and TLS deployment</w:t>
            </w:r>
          </w:p>
        </w:tc>
      </w:tr>
      <w:tr>
        <w:trPr>
          <w:cantSplit/>
        </w:trPr>
        <w:tc>
          <w:tcPr>
            <w:tcW w:type="dxa" w:w="4100"/>
          </w:tcPr>
          <w:p>
            <w:pPr>
              <w:pStyle w:val="TableText"/>
            </w:pPr>
            <w:r>
              <w:rPr>
                <w:rFonts w:ascii="DejaVu Sans Mono" w:hAnsi="DejaVu Sans Mono"/>
                <w:sz w:val="18"/>
              </w:rPr>
              <w:t>package_source.py</w:t>
            </w:r>
          </w:p>
        </w:tc>
        <w:tc>
          <w:tcPr>
            <w:tcW w:type="dxa" w:w="5260"/>
          </w:tcPr>
          <w:p>
            <w:pPr>
              <w:pStyle w:val="TableText"/>
            </w:pPr>
            <w:r>
              <w:t>Portable archive and file checksums</w:t>
            </w:r>
          </w:p>
        </w:tc>
      </w:tr>
      <w:tr>
        <w:trPr>
          <w:cantSplit/>
        </w:trPr>
        <w:tc>
          <w:tcPr>
            <w:tcW w:type="dxa" w:w="4100"/>
          </w:tcPr>
          <w:p>
            <w:pPr>
              <w:pStyle w:val="TableText"/>
            </w:pPr>
            <w:r>
              <w:rPr>
                <w:rFonts w:ascii="DejaVu Sans Mono" w:hAnsi="DejaVu Sans Mono"/>
                <w:sz w:val="18"/>
              </w:rPr>
              <w:t>build_research_report.py</w:t>
            </w:r>
          </w:p>
        </w:tc>
        <w:tc>
          <w:tcPr>
            <w:tcW w:type="dxa" w:w="5260"/>
          </w:tcPr>
          <w:p>
            <w:pPr>
              <w:pStyle w:val="TableText"/>
            </w:pPr>
            <w:r>
              <w:t>Generate static evidence page from results</w:t>
            </w:r>
          </w:p>
        </w:tc>
      </w:tr>
      <w:tr>
        <w:trPr>
          <w:cantSplit/>
        </w:trPr>
        <w:tc>
          <w:tcPr>
            <w:tcW w:type="dxa" w:w="4100"/>
          </w:tcPr>
          <w:p>
            <w:pPr>
              <w:pStyle w:val="TableText"/>
            </w:pPr>
            <w:r>
              <w:rPr>
                <w:rFonts w:ascii="DejaVu Sans Mono" w:hAnsi="DejaVu Sans Mono"/>
                <w:sz w:val="18"/>
              </w:rPr>
              <w:t>vite.config.js</w:t>
            </w:r>
            <w:r>
              <w:t xml:space="preserve">, </w:t>
            </w:r>
            <w:r>
              <w:rPr>
                <w:rFonts w:ascii="DejaVu Sans Mono" w:hAnsi="DejaVu Sans Mono"/>
                <w:sz w:val="18"/>
              </w:rPr>
              <w:t>package*.json</w:t>
            </w:r>
          </w:p>
        </w:tc>
        <w:tc>
          <w:tcPr>
            <w:tcW w:type="dxa" w:w="5260"/>
          </w:tcPr>
          <w:p>
            <w:pPr>
              <w:pStyle w:val="TableText"/>
            </w:pPr>
            <w:r>
              <w:t>Optional local browser-verification setup</w:t>
            </w:r>
          </w:p>
        </w:tc>
      </w:tr>
    </w:tbl>
    <w:p>
      <w:pPr>
        <w:keepNext w:val="0"/>
        <w:spacing w:before="120"/>
      </w:pPr>
      <w:r>
        <w:t>The static site needs no frontend build. Vite is for development and browser verification. Preserve the existing code layout until a specific feature justifies refactoring; do not replace the neural model with an unrelated controller to make the flies look more active.</w:t>
      </w:r>
    </w:p>
    <w:p>
      <w:pPr>
        <w:pStyle w:val="Heading1"/>
      </w:pPr>
      <w:r>
        <w:t>Rendering modes</w:t>
      </w:r>
    </w:p>
    <w:p>
      <w:pPr>
        <w:keepNext w:val="0"/>
      </w:pPr>
      <w:r>
        <w:t>The preferred path uses WebGL2, physically based Three.js materials and GPU shadows. Startup now requests a balanced graphics context and retries without antialiasing. If unavailable, the compatibility renderer projects the same scene on the CPU using a depth buffer, reduced mesh detail, perspective-correct texture sampling, smooth world-space lighting, static directional shadows and translucent wings. It retains the controls and simulation, but has lower visual quality and performance. It is not an image or a prerecorded video.</w:t>
      </w:r>
    </w:p>
    <w:p>
      <w:pPr>
        <w:keepNext w:val="0"/>
      </w:pPr>
      <w:r>
        <w:t>The software renderer reduces resolution during navigation and restores it when the orbit settles. Fixed-camera CPU raster time fell from 29.96 ms to 5.48 ms in the controlled test; full-resolution moving-camera time did not improve. See FLIGHT-UPDATE.md for the tradeoff and exact methodology.</w:t>
      </w:r>
    </w:p>
    <w:p>
      <w:pPr>
        <w:keepNext w:val="0"/>
      </w:pPr>
      <w:r>
        <w:t xml:space="preserve">The test browser refused WebGL context creation. The compatibility path was visually checked with furniture, twelve flies and the close-up visible. Selection, follow, pause/resume, food placement, capture, lighting, walk-mode entry/exit and the project dialog were exercised. Hardware WebGL rendering could not be visually verified in that browser. See </w:t>
      </w:r>
      <w:r>
        <w:rPr>
          <w:rFonts w:ascii="DejaVu Sans Mono" w:hAnsi="DejaVu Sans Mono"/>
          <w:sz w:val="18"/>
        </w:rPr>
        <w:t>docs/BROWSER-QA.md</w:t>
      </w:r>
      <w:r>
        <w:t>.</w:t>
      </w:r>
    </w:p>
    <w:p>
      <w:pPr>
        <w:pStyle w:val="Heading1"/>
      </w:pPr>
      <w:r>
        <w:t>Run it locally</w:t>
      </w:r>
    </w:p>
    <w:p>
      <w:pPr>
        <w:pStyle w:val="Heading2"/>
      </w:pPr>
      <w:r>
        <w:t>Browser demo: no neural server or GPU required</w:t>
      </w:r>
    </w:p>
    <w:p>
      <w:pPr>
        <w:keepNext/>
      </w:pPr>
      <w:r>
        <w:t xml:space="preserve">Extract the archive and open a terminal in the </w:t>
      </w:r>
      <w:r>
        <w:rPr>
          <w:rFonts w:ascii="DejaVu Sans Mono" w:hAnsi="DejaVu Sans Mono"/>
          <w:sz w:val="18"/>
        </w:rPr>
        <w:t>flyworld</w:t>
      </w:r>
      <w:r>
        <w:t xml:space="preserve"> directory. Start a static HTTP server:</w:t>
      </w:r>
    </w:p>
    <w:p>
      <w:pPr>
        <w:pStyle w:val="Code"/>
        <w:keepNext w:val="0"/>
      </w:pPr>
      <w:r>
        <w:t>python -m http.server 8080 --directory dist</w:t>
      </w:r>
    </w:p>
    <w:p>
      <w:pPr>
        <w:keepNext w:val="0"/>
      </w:pPr>
      <w:r>
        <w:t xml:space="preserve">Open </w:t>
      </w:r>
      <w:r>
        <w:rPr>
          <w:rFonts w:ascii="DejaVu Sans Mono" w:hAnsi="DejaVu Sans Mono"/>
          <w:sz w:val="18"/>
        </w:rPr>
        <w:t>http://localhost:8080</w:t>
      </w:r>
      <w:r>
        <w:t xml:space="preserve">. Do not double-click </w:t>
      </w:r>
      <w:r>
        <w:rPr>
          <w:rFonts w:ascii="DejaVu Sans Mono" w:hAnsi="DejaVu Sans Mono"/>
          <w:sz w:val="18"/>
        </w:rPr>
        <w:t>index.html</w:t>
      </w:r>
      <w:r>
        <w:t xml:space="preserve">: JavaScript module loading should use HTTP. Open </w:t>
      </w:r>
      <w:r>
        <w:rPr>
          <w:rFonts w:ascii="DejaVu Sans Mono" w:hAnsi="DejaVu Sans Mono"/>
          <w:sz w:val="18"/>
        </w:rPr>
        <w:t>http://localhost:8080/research.html</w:t>
      </w:r>
      <w:r>
        <w:t xml:space="preserve"> for the saved evidence report.</w:t>
      </w:r>
    </w:p>
    <w:p>
      <w:pPr>
        <w:keepNext w:val="0"/>
      </w:pPr>
      <w:r>
        <w:t>When hosted elsewhere, visitors simply open the page and their browser runs the demo. They do not download the large connectome. Each local-demo page has its own independent session; it is not automatically a shared persistent world.</w:t>
      </w:r>
    </w:p>
    <w:p>
      <w:pPr>
        <w:pStyle w:val="Heading2"/>
      </w:pPr>
      <w:r>
        <w:t>Real MaleCNS on a local computer</w:t>
      </w:r>
    </w:p>
    <w:p>
      <w:pPr>
        <w:keepNext/>
      </w:pPr>
      <w:r>
        <w:t>Use a dedicated Python environment; Python 3.11 is the documented target. Install dependencies, import the data and run the tests:</w:t>
      </w:r>
    </w:p>
    <w:p>
      <w:pPr>
        <w:pStyle w:val="Code"/>
        <w:keepNext/>
      </w:pPr>
      <w:r>
        <w:t>python -m pip install -r requirements.txt</w:t>
      </w:r>
    </w:p>
    <w:p>
      <w:pPr>
        <w:pStyle w:val="Code"/>
        <w:keepNext/>
      </w:pPr>
      <w:r>
        <w:t>python -m backend.import_malecns --out data/graph</w:t>
      </w:r>
    </w:p>
    <w:p>
      <w:pPr>
        <w:pStyle w:val="Code"/>
        <w:keepNext/>
      </w:pPr>
      <w:r>
        <w:t>python -m backend.build_brain_atlas --graph data/graph</w:t>
      </w:r>
    </w:p>
    <w:p>
      <w:pPr>
        <w:pStyle w:val="Code"/>
        <w:keepNext/>
      </w:pPr>
      <w:r>
        <w:t>python -m unittest discover -s tests -v</w:t>
      </w:r>
    </w:p>
    <w:p>
      <w:pPr>
        <w:pStyle w:val="Code"/>
        <w:keepNext w:val="0"/>
      </w:pPr>
      <w:r>
        <w:t>node tests/local-world.mjs</w:t>
      </w:r>
    </w:p>
    <w:p>
      <w:pPr>
        <w:keepNext w:val="0"/>
      </w:pPr>
      <w:r>
        <w:t>The current importer creates the corrected v0.2 graph. Allow roughly 1.1 GB of raw downloads, several GB of working memory and at least 3 GB of storage. Old v0.1 graphs must be reimported because histamine signs changed. Old neural checkpoints are rejected by the updated dynamics version; use a new state directory.</w:t>
      </w:r>
    </w:p>
    <w:p>
      <w:pPr>
        <w:keepNext/>
      </w:pPr>
      <w:r>
        <w:t xml:space="preserve">Set </w:t>
      </w:r>
      <w:r>
        <w:rPr>
          <w:rFonts w:ascii="DejaVu Sans Mono" w:hAnsi="DejaVu Sans Mono"/>
          <w:sz w:val="18"/>
        </w:rPr>
        <w:t>FLYWORLD_TOKEN</w:t>
      </w:r>
      <w:r>
        <w:t xml:space="preserve"> to a fresh random secret of at least sixteen characters. For a strictly local session, set </w:t>
      </w:r>
      <w:r>
        <w:rPr>
          <w:rFonts w:ascii="DejaVu Sans Mono" w:hAnsi="DejaVu Sans Mono"/>
          <w:sz w:val="18"/>
        </w:rPr>
        <w:t>FLYWORLD_ORIGINS</w:t>
      </w:r>
      <w:r>
        <w:t xml:space="preserve"> to </w:t>
      </w:r>
      <w:r>
        <w:rPr>
          <w:rFonts w:ascii="DejaVu Sans Mono" w:hAnsi="DejaVu Sans Mono"/>
          <w:sz w:val="18"/>
        </w:rPr>
        <w:t>http://localhost:8080</w:t>
      </w:r>
      <w:r>
        <w:t>. Examples:</w:t>
      </w:r>
    </w:p>
    <w:p>
      <w:pPr>
        <w:pStyle w:val="Code"/>
        <w:keepNext/>
      </w:pPr>
      <w:r>
        <w:t># Bash: generate a token, then set the allowed viewer origin.</w:t>
      </w:r>
    </w:p>
    <w:p>
      <w:pPr>
        <w:pStyle w:val="Code"/>
        <w:keepNext/>
      </w:pPr>
      <w:r>
        <w:t>export FLYWORLD_TOKEN="$(python -c 'import secrets; print(secrets.token_urlsafe(32))')"</w:t>
      </w:r>
    </w:p>
    <w:p>
      <w:pPr>
        <w:pStyle w:val="Code"/>
        <w:keepNext w:val="0"/>
      </w:pPr>
      <w:r>
        <w:t>export FLYWORLD_ORIGINS="http://localhost:8080"</w:t>
      </w:r>
    </w:p>
    <w:p>
      <w:pPr>
        <w:pStyle w:val="Code"/>
        <w:keepNext/>
      </w:pPr>
      <w:r>
        <w:t># PowerShell equivalent.</w:t>
      </w:r>
    </w:p>
    <w:p>
      <w:pPr>
        <w:pStyle w:val="Code"/>
        <w:keepNext/>
      </w:pPr>
      <w:r>
        <w:t>$env:FLYWORLD_TOKEN = python -c "import secrets; print(secrets.token_urlsafe(32))"</w:t>
      </w:r>
    </w:p>
    <w:p>
      <w:pPr>
        <w:pStyle w:val="Code"/>
        <w:keepNext w:val="0"/>
      </w:pPr>
      <w:r>
        <w:t>$env:FLYWORLD_ORIGINS = "http://localhost:8080"</w:t>
      </w:r>
    </w:p>
    <w:p>
      <w:pPr>
        <w:keepNext/>
      </w:pPr>
      <w:r>
        <w:t>Start the neural service:</w:t>
      </w:r>
    </w:p>
    <w:p>
      <w:pPr>
        <w:pStyle w:val="Code"/>
        <w:keepNext w:val="0"/>
      </w:pPr>
      <w:r>
        <w:t>python -m backend.server --graph data/graph --device cpu --host 127.0.0.1 --state-dir state/v02</w:t>
      </w:r>
    </w:p>
    <w:p>
      <w:pPr>
        <w:keepNext w:val="0"/>
      </w:pPr>
      <w:r>
        <w:t xml:space="preserve">Use configure_neural.py to preload a deployed endpoint, or enter it manually. In the viewer, use Connect live brain beneath the paired body/anatomy views, or open Project and connect to </w:t>
      </w:r>
      <w:r>
        <w:rPr>
          <w:rFonts w:ascii="DejaVu Sans Mono" w:hAnsi="DejaVu Sans Mono"/>
          <w:sz w:val="18"/>
        </w:rPr>
        <w:t>ws://localhost:8000/ws</w:t>
      </w:r>
      <w:r>
        <w:t xml:space="preserve"> with the configured token. HTTPS-hosted viewers require a secure </w:t>
      </w:r>
      <w:r>
        <w:rPr>
          <w:rFonts w:ascii="DejaVu Sans Mono" w:hAnsi="DejaVu Sans Mono"/>
          <w:sz w:val="18"/>
        </w:rPr>
        <w:t>wss://</w:t>
      </w:r>
      <w:r>
        <w:t xml:space="preserve"> endpoint. The service token is entered locally and sent in the first WebSocket message; never commit it or publish it on-chain.</w:t>
      </w:r>
    </w:p>
    <w:p>
      <w:pPr>
        <w:keepNext w:val="0"/>
      </w:pPr>
      <w:r>
        <w:t>A browser cannot silently install Python, download the dataset and launch a local service merely because someone opens the website. Full browser-native neural execution would be a separate WebGPU/WASM port and has not been built.</w:t>
      </w:r>
    </w:p>
    <w:p>
      <w:pPr>
        <w:pStyle w:val="Heading1"/>
      </w:pPr>
      <w:r>
        <w:t>CPU, GPU and hosting decision</w:t>
      </w:r>
    </w:p>
    <w:p>
      <w:pPr>
        <w:keepNext w:val="0"/>
      </w:pPr>
      <w:r>
        <w:t>A GPU is not mathematically necessary to compute this model. It is the next hardware requirement for attempting a responsive twelve-brain experience with the current architecture. It does not supply missing physiological knowledge or automatically validate behavior.</w:t>
      </w:r>
    </w:p>
    <w:tbl>
      <w:tblPr>
        <w:tblLayout w:type="fixed"/>
        <w:tblLook w:firstColumn="1" w:firstRow="1" w:lastColumn="0" w:lastRow="0" w:noHBand="0" w:noVBand="1" w:val="04A0"/>
        <w:tblW w:w="9360" w:type="dxa"/>
        <w:tblInd w:w="120" w:type="dxa"/>
        <w:tblCellMar>
          <w:top w:w="80" w:type="dxa"/>
          <w:bottom w:w="80" w:type="dxa"/>
          <w:start w:w="120" w:type="dxa"/>
          <w:end w:w="120" w:type="dxa"/>
        </w:tblCellMar>
        <w:tblBorders>
          <w:top w:val="single" w:sz="4" w:color="CFD8DF"/>
          <w:left w:val="single" w:sz="4" w:color="CFD8DF"/>
          <w:bottom w:val="single" w:sz="4" w:color="CFD8DF"/>
          <w:right w:val="single" w:sz="4" w:color="CFD8DF"/>
          <w:insideH w:val="single" w:sz="4" w:color="CFD8DF"/>
          <w:insideV w:val="single" w:sz="4" w:color="CFD8DF"/>
        </w:tblBorders>
      </w:tblPr>
      <w:tblGrid>
        <w:gridCol w:w="2700"/>
        <w:gridCol w:w="3330"/>
        <w:gridCol w:w="3330"/>
      </w:tblGrid>
      <w:tr>
        <w:trPr>
          <w:cantSplit/>
          <w:tblHeader/>
        </w:trPr>
        <w:tc>
          <w:tcPr>
            <w:tcW w:type="dxa" w:w="2700"/>
            <w:shd w:fill="E8EEF5"/>
          </w:tcPr>
          <w:p>
            <w:pPr>
              <w:pStyle w:val="TableText"/>
            </w:pPr>
            <w:r>
              <w:rPr>
                <w:b/>
              </w:rPr>
              <w:t>Mode</w:t>
            </w:r>
          </w:p>
        </w:tc>
        <w:tc>
          <w:tcPr>
            <w:tcW w:type="dxa" w:w="3330"/>
            <w:shd w:fill="E8EEF5"/>
          </w:tcPr>
          <w:p>
            <w:pPr>
              <w:pStyle w:val="TableText"/>
            </w:pPr>
            <w:r>
              <w:rPr>
                <w:b/>
              </w:rPr>
              <w:t>Runs where</w:t>
            </w:r>
          </w:p>
        </w:tc>
        <w:tc>
          <w:tcPr>
            <w:tcW w:type="dxa" w:w="3330"/>
            <w:shd w:fill="E8EEF5"/>
          </w:tcPr>
          <w:p>
            <w:pPr>
              <w:pStyle w:val="TableText"/>
            </w:pPr>
            <w:r>
              <w:rPr>
                <w:b/>
              </w:rPr>
              <w:t>Current status</w:t>
            </w:r>
          </w:p>
        </w:tc>
      </w:tr>
      <w:tr>
        <w:trPr>
          <w:cantSplit/>
        </w:trPr>
        <w:tc>
          <w:tcPr>
            <w:tcW w:type="dxa" w:w="2700"/>
          </w:tcPr>
          <w:p>
            <w:pPr>
              <w:pStyle w:val="TableText"/>
            </w:pPr>
            <w:r>
              <w:t>Procedural demo</w:t>
            </w:r>
          </w:p>
        </w:tc>
        <w:tc>
          <w:tcPr>
            <w:tcW w:type="dxa" w:w="3330"/>
          </w:tcPr>
          <w:p>
            <w:pPr>
              <w:pStyle w:val="TableText"/>
            </w:pPr>
            <w:r>
              <w:t>Visitor's browser</w:t>
            </w:r>
          </w:p>
        </w:tc>
        <w:tc>
          <w:tcPr>
            <w:tcW w:type="dxa" w:w="3330"/>
          </w:tcPr>
          <w:p>
            <w:pPr>
              <w:pStyle w:val="TableText"/>
            </w:pPr>
            <w:r>
              <w:t>Working; no remote GPU</w:t>
            </w:r>
          </w:p>
        </w:tc>
      </w:tr>
      <w:tr>
        <w:trPr>
          <w:cantSplit/>
        </w:trPr>
        <w:tc>
          <w:tcPr>
            <w:tcW w:type="dxa" w:w="2700"/>
          </w:tcPr>
          <w:p>
            <w:pPr>
              <w:pStyle w:val="TableText"/>
            </w:pPr>
            <w:r>
              <w:t>Real connectome, CPU</w:t>
            </w:r>
          </w:p>
        </w:tc>
        <w:tc>
          <w:tcPr>
            <w:tcW w:type="dxa" w:w="3330"/>
          </w:tcPr>
          <w:p>
            <w:pPr>
              <w:pStyle w:val="TableText"/>
            </w:pPr>
            <w:r>
              <w:t>Local Python or server</w:t>
            </w:r>
          </w:p>
        </w:tc>
        <w:tc>
          <w:tcPr>
            <w:tcW w:type="dxa" w:w="3330"/>
          </w:tcPr>
          <w:p>
            <w:pPr>
              <w:pStyle w:val="TableText"/>
            </w:pPr>
            <w:r>
              <w:t>Tested; slow at twelve states</w:t>
            </w:r>
          </w:p>
        </w:tc>
      </w:tr>
      <w:tr>
        <w:trPr>
          <w:cantSplit/>
        </w:trPr>
        <w:tc>
          <w:tcPr>
            <w:tcW w:type="dxa" w:w="2700"/>
          </w:tcPr>
          <w:p>
            <w:pPr>
              <w:pStyle w:val="TableText"/>
            </w:pPr>
            <w:r>
              <w:t>Real connectome, CUDA</w:t>
            </w:r>
          </w:p>
        </w:tc>
        <w:tc>
          <w:tcPr>
            <w:tcW w:type="dxa" w:w="3330"/>
          </w:tcPr>
          <w:p>
            <w:pPr>
              <w:pStyle w:val="TableText"/>
            </w:pPr>
            <w:r>
              <w:t>GPU Python process</w:t>
            </w:r>
          </w:p>
        </w:tc>
        <w:tc>
          <w:tcPr>
            <w:tcW w:type="dxa" w:w="3330"/>
          </w:tcPr>
          <w:p>
            <w:pPr>
              <w:pStyle w:val="TableText"/>
            </w:pPr>
            <w:r>
              <w:t>Implemented path; hardware untested</w:t>
            </w:r>
          </w:p>
        </w:tc>
      </w:tr>
      <w:tr>
        <w:trPr>
          <w:cantSplit/>
        </w:trPr>
        <w:tc>
          <w:tcPr>
            <w:tcW w:type="dxa" w:w="2700"/>
          </w:tcPr>
          <w:p>
            <w:pPr>
              <w:pStyle w:val="TableText"/>
            </w:pPr>
            <w:r>
              <w:t>Real connectome in browser</w:t>
            </w:r>
          </w:p>
        </w:tc>
        <w:tc>
          <w:tcPr>
            <w:tcW w:type="dxa" w:w="3330"/>
          </w:tcPr>
          <w:p>
            <w:pPr>
              <w:pStyle w:val="TableText"/>
            </w:pPr>
            <w:r>
              <w:t>WebGPU/WASM port</w:t>
            </w:r>
          </w:p>
        </w:tc>
        <w:tc>
          <w:tcPr>
            <w:tcW w:type="dxa" w:w="3330"/>
          </w:tcPr>
          <w:p>
            <w:pPr>
              <w:pStyle w:val="TableText"/>
            </w:pPr>
            <w:r>
              <w:t>Not implemented</w:t>
            </w:r>
          </w:p>
        </w:tc>
      </w:tr>
    </w:tbl>
    <w:p>
      <w:pPr>
        <w:keepNext w:val="0"/>
        <w:spacing w:before="120"/>
      </w:pPr>
      <w:r>
        <w:t>The updated CPU benchmark measured ten 50 ms windows after one warmup. Median wall time was about 68 ms for one brain and 1,372 ms for twelve brains. Twelve-brain simulated-time/wall-time throughput was 0.0367, about 27 times slower than real time. This was a sparse looming-only stimulus, not a rich-vision or sustained multiplayer workload. Do not extrapolate it into a specific GPU requirement or guaranteed frame rate.</w:t>
      </w:r>
    </w:p>
    <w:p>
      <w:pPr>
        <w:keepNext w:val="0"/>
      </w:pPr>
      <w:r>
        <w:t>A deployable neural service needs a persistent process/container, compatible CUDA/PyTorch runtime, storage for data and checkpoints, and a secure WebSocket endpoint. A generic LLM inference API cannot run this process. Static hosting alone serves the apartment but not the neural engine. An Orbofi agent's existing container may host the CPU service; its hardware and networking must first be checked.</w:t>
      </w:r>
    </w:p>
    <w:p>
      <w:pPr>
        <w:pStyle w:val="Heading2"/>
      </w:pPr>
      <w:r>
        <w:t>Required GPU gates</w:t>
      </w:r>
    </w:p>
    <w:p>
      <w:pPr>
        <w:keepNext/>
      </w:pPr>
      <w:r>
        <w:t>Run these on actual hardware, retain failed results, and do not call a skipped check a pass:</w:t>
      </w:r>
    </w:p>
    <w:p>
      <w:pPr>
        <w:pStyle w:val="Code"/>
        <w:keepNext/>
      </w:pPr>
      <w:r>
        <w:t>python -m backend.validate_device --graph data/graph --batches 1 --output docs/cuda-parity-1.json</w:t>
      </w:r>
    </w:p>
    <w:p>
      <w:pPr>
        <w:pStyle w:val="Code"/>
        <w:keepNext/>
      </w:pPr>
      <w:r>
        <w:t>python -m backend.validate_device --graph data/graph --batches 12 --output docs/cuda-parity-12.json</w:t>
      </w:r>
    </w:p>
    <w:p>
      <w:pPr>
        <w:pStyle w:val="Code"/>
        <w:keepNext w:val="0"/>
      </w:pPr>
      <w:r>
        <w:t>python -m backend.benchmark --graph data/graph --device cuda --batches 1 2 4 12 --windows 100 --output docs/cuda-benchmark.json</w:t>
      </w:r>
    </w:p>
    <w:p>
      <w:pPr>
        <w:keepNext w:val="0"/>
      </w:pPr>
      <w:r>
        <w:t>After kernel checks, measure the full service with rendering clients, sensory updates, network traffic, logs and checkpoints. The CUDA implementation still generates random input on the CPU and transfers it; profile before optimizing. Preserve matched numerical behavior when changing kernels.</w:t>
      </w:r>
    </w:p>
    <w:p>
      <w:pPr>
        <w:pStyle w:val="Heading2"/>
      </w:pPr>
      <w:r>
        <w:t>Service operation</w:t>
      </w:r>
    </w:p>
    <w:p>
      <w:pPr>
        <w:keepNext w:val="0"/>
      </w:pPr>
      <w:r>
        <w:t>The server maintains one shared world for connected clients. Authentication is a shared token; all authenticated clients can operate it. Separate spectator/operator roles are not implemented. Limits include 32 clients, ten commands per second per client and bounded queues. Checkpoints retain two generations; logs rotate. Use persistent storage and an origin allowlist for shared hosting.</w:t>
      </w:r>
    </w:p>
    <w:p>
      <w:pPr>
        <w:keepNext w:val="0"/>
      </w:pPr>
      <w:r>
        <w:rPr>
          <w:rFonts w:ascii="DejaVu Sans Mono" w:hAnsi="DejaVu Sans Mono"/>
          <w:sz w:val="18"/>
        </w:rPr>
        <w:t>compose.yaml</w:t>
      </w:r>
      <w:r>
        <w:t xml:space="preserve"> mounts </w:t>
      </w:r>
      <w:r>
        <w:rPr>
          <w:rFonts w:ascii="DejaVu Sans Mono" w:hAnsi="DejaVu Sans Mono"/>
          <w:sz w:val="18"/>
        </w:rPr>
        <w:t>./data</w:t>
      </w:r>
      <w:r>
        <w:t xml:space="preserve"> and </w:t>
      </w:r>
      <w:r>
        <w:rPr>
          <w:rFonts w:ascii="DejaVu Sans Mono" w:hAnsi="DejaVu Sans Mono"/>
          <w:sz w:val="18"/>
        </w:rPr>
        <w:t>./state</w:t>
      </w:r>
      <w:r>
        <w:t xml:space="preserve">; its image expects the graph at </w:t>
      </w:r>
      <w:r>
        <w:rPr>
          <w:rFonts w:ascii="DejaVu Sans Mono" w:hAnsi="DejaVu Sans Mono"/>
          <w:sz w:val="18"/>
        </w:rPr>
        <w:t>/data/graph</w:t>
      </w:r>
      <w:r>
        <w:t>. If importing to a different directory, align the command and mount paths. The provided CUDA container has not been hardware-tested. Do not assume a successful Docker build proves the simulation works.</w:t>
      </w:r>
    </w:p>
    <w:p>
      <w:pPr>
        <w:pStyle w:val="Heading1"/>
      </w:pPr>
      <w:r>
        <w:t>Scientific provenance and live brain display</w:t>
      </w:r>
    </w:p>
    <w:p>
      <w:pPr>
        <w:keepNext w:val="0"/>
      </w:pPr>
      <w:r>
        <w:t>Google Research, HHMI Janelia and collaborators provide an anatomical reconstruction. FlyWorld uses released connectivity in an original experimental model. It does not reproduce the EM reconstruction pipeline or establish recovered fly physiology.</w:t>
      </w:r>
    </w:p>
    <w:p>
      <w:pPr>
        <w:keepNext/>
      </w:pPr>
      <w:r>
        <w:t>The corrected retained graph contains 164,506 typed neurons and 25,135,616 directed edges. Its SHA-256 is:</w:t>
      </w:r>
    </w:p>
    <w:p>
      <w:pPr>
        <w:keepNext w:val="0"/>
      </w:pPr>
      <w:r>
        <w:rPr>
          <w:rFonts w:ascii="DejaVu Sans Mono" w:hAnsi="DejaVu Sans Mono"/>
          <w:sz w:val="18"/>
        </w:rPr>
        <w:t>dc992373479e3c48eb53ff7d828bbb3e63b8e9b1e77dc20cd8e07da7512b878c</w:t>
      </w:r>
    </w:p>
    <w:p>
      <w:pPr>
        <w:keepNext w:val="0"/>
      </w:pPr>
      <w:r>
        <w:t>The importer excludes 47,071 untyped annotation IDs. Those raw segment counts cannot be equated with complete neurons. Raw source hashes, filtering and population mappings are recorded. The model simplifies transmitter signs, membrane dynamics, input stimulation and motor readouts. Histamine, GABA and glutamate receive negative signs; other/unknown labels remain provisionally positive. Photoreceptor signaling is still simplified as spikes rather than graded biological responses.</w:t>
      </w:r>
    </w:p>
    <w:p>
      <w:pPr>
        <w:keepNext w:val="0"/>
      </w:pPr>
      <w:r>
        <w:t>Eighteen paired trials tested direct LC4 stimulation across three seeds and six conditions. The DNp01 response disappeared under the tested recurrence-removal, input-silencing and assignment-scrambling controls; unrelated-cell silencing preserved it. Direct LC4→DNp01 edges exist in this graph, so the result does not demonstrate recruitment of the entire brain. Seventeen automated backend tests passed, plus a short real-graph CPU numerical comparison. CUDA and natural behavior remain unvalidated.</w:t>
      </w:r>
    </w:p>
    <w:p>
      <w:pPr>
        <w:pStyle w:val="Heading2"/>
      </w:pPr>
      <w:r>
        <w:t>Implemented anatomical activity inspector</w:t>
      </w:r>
    </w:p>
    <w:p>
      <w:pPr>
        <w:keepNext w:val="0"/>
      </w:pPr>
      <w:r>
        <w:t>Body and Brain activity appear side by side in the selected fly's inspector. Open Explore anatomy &amp; measurements for the rotation slider and population values. The point cloud uses 1,430 actual soma coordinates, original body IDs and cell types. Rotate it with the slider and hover cells to inspect their identity. In local demo mode the view shows anatomy only; no neural activity is invented.</w:t>
      </w:r>
    </w:p>
    <w:p>
      <w:pPr>
        <w:keepNext w:val="0"/>
      </w:pPr>
      <w:r>
        <w:t>The backend now accumulates actual spikes over each 50 ms simulation window. It returns counts and mean Hz for 22 annotation superclasses, and per-cell Hz for the displayed sample. Groups partition the retained graph, so population totals equal the global spike count. The display verifies the atlas SHA-256 against the server before overlaying activity. Pause and disconnect identify the last measured window; switching residents changes the measurement source.</w:t>
      </w:r>
    </w:p>
    <w:p>
      <w:pPr>
        <w:keepNext w:val="0"/>
      </w:pPr>
      <w:r>
        <w:t>This is a soma sample, not neuron branches or neuropil meshes. Annotation superclasses are not anatomical brain regions. The sample preserves rare populations and is not a density estimate. Complete provenance, sampling and rate definitions are in HABITAT-UPGRADE.md. Full regional anatomy, realistic physiology and human labels such as frontal cortex must not be inferred from this view.</w:t>
      </w:r>
    </w:p>
    <w:p>
      <w:pPr>
        <w:pStyle w:val="Heading2"/>
      </w:pPr>
      <w:r>
        <w:t>Implemented environment and food upgrades</w:t>
      </w:r>
    </w:p>
    <w:p>
      <w:pPr>
        <w:keepNext w:val="0"/>
      </w:pPr>
      <w:r>
        <w:t>The scene now uses bundled wood, plaster and fabric maps alongside original stone and compound-eye maps; rebuilt oval tables, curved chairs and a front-facing sofa; warm WebGL point lights; and fly bristles, shaped wings, antenna details and halteres. The software renderer samples the same maps, with simplified lighting. Models remain illustrative procedural geometry. Blender is optional for future authored assets, not a visitor requirement.</w:t>
      </w:r>
    </w:p>
    <w:p>
      <w:pPr>
        <w:keepNext w:val="0"/>
      </w:pPr>
      <w:r>
        <w:t>Food options are eaten banana, fish and meat. Records retain type, quantity, freshness and odorProfile through the local world, server commands and checkpoints. Default strengths are 1.0, 0.65 and 0.50 respectively; these are design assumptions. They scale broad left/right ORN input, not chemical receptor-specific channels. Quantity/freshness are static metadata and food is not consumed. Local preview flies land around food, feed briefly and leave before returning; these illustrative rules are separate from the unchanged neural controller.</w:t>
      </w:r>
    </w:p>
    <w:p>
      <w:pPr>
        <w:pStyle w:val="Heading2"/>
      </w:pPr>
      <w:r>
        <w:t>Verification and remaining work</w:t>
      </w:r>
    </w:p>
    <w:p>
      <w:pPr>
        <w:keepNext w:val="0"/>
      </w:pPr>
      <w:r>
        <w:t>Seventeen Python tests, three existing Node suites, and new feeding and raster regression checks passed. Real-graph tests verified per-animal spike-count conservation, telemetry transmission, pause, food metadata and checkpoint restoration. The previously measured single 50 ms window for twelve brains took about 1.67 seconds with telemetry; this is not a sustained performance benchmark.</w:t>
      </w:r>
    </w:p>
    <w:p>
      <w:pPr>
        <w:keepNext w:val="0"/>
      </w:pPr>
      <w:r>
        <w:t>The Flight update compatibility view was visually checked. Body and anatomy were visible together; selection, pause/resume, fish placement, orbit, follow, walk-mode entry/exit and connection setup were exercised. BROWSER-QA.md records timing observations and separates current checks from historical ones. The clipboard control falls back to a task download when access is unavailable. Hardware WebGL, narrow viewports, live browser/server integration, GPU parity and sustained neural performance remain acceptance gates.</w:t>
      </w:r>
    </w:p>
    <w:p>
      <w:pPr>
        <w:keepNext w:val="0"/>
      </w:pPr>
      <w:r>
        <w:t>Richer neuron skeletons/ROI meshes, photorealistic authored assets and calibrated biological food preferences remain future work. See FLIGHT-UPDATE.md for the current release record.</w:t>
      </w:r>
    </w:p>
    <w:p>
      <w:pPr>
        <w:pStyle w:val="Heading1"/>
      </w:pPr>
      <w:r>
        <w:t>Instructions for the receiving Orbofi agent</w:t>
      </w:r>
    </w:p>
    <w:p>
      <w:pPr>
        <w:keepNext w:val="0"/>
      </w:pPr>
      <w:r>
        <w:t>Read README.md, MODEL.md, SCIENCE-AUDIT.md and BROWSER-QA.md. Verify archive checksums, then run the viewer and tests before changing architecture. Preserve WebGL recovery and demo/neural labels. Complete hardware, deployed-server and mobile verification before extending assets, food mappings or regional anatomy. Update this handoff, tests, asset licenses and source archive after each milestone.</w:t>
      </w:r>
    </w:p>
    <w:p>
      <w:pPr>
        <w:keepNext w:val="0"/>
      </w:pPr>
      <w:r>
        <w:t>Do not treat this handoff as authorization to purchase GPU capacity, send messages, change sharing permissions or publish on-chain. Use the agent's own authorized hosting/artifact workflow. The current code does not integrate Orbofi APIs. Keep credentials outside artifacts.</w:t>
      </w:r>
    </w:p>
    <w:p>
      <w:pPr>
        <w:pStyle w:val="Heading1"/>
      </w:pPr>
      <w:r>
        <w:t>Sources and companion documents</w:t>
      </w:r>
    </w:p>
    <w:p>
      <w:pPr>
        <w:pStyle w:val="BulletGuide"/>
        <w:numPr>
          <w:ilvl w:val="0"/>
          <w:numId w:val="80"/>
        </w:numPr>
      </w:pPr>
      <w:r>
        <w:t>Google research overview: https://blog.google/innovation-and-ai/technology/research/male-fruit-fly-brain-map/</w:t>
      </w:r>
    </w:p>
    <w:p>
      <w:pPr>
        <w:pStyle w:val="BulletGuide"/>
        <w:numPr>
          <w:ilvl w:val="0"/>
          <w:numId w:val="80"/>
        </w:numPr>
      </w:pPr>
      <w:r>
        <w:t>Official data and morphology access: https://male-cns.janelia.org/download/</w:t>
      </w:r>
    </w:p>
    <w:p>
      <w:pPr>
        <w:pStyle w:val="BulletGuide"/>
        <w:numPr>
          <w:ilvl w:val="0"/>
          <w:numId w:val="80"/>
        </w:numPr>
      </w:pPr>
      <w:r>
        <w:t>Original demo release status: https://github.com/evnsnclr/neurocraft-fly-public</w:t>
      </w:r>
    </w:p>
    <w:p>
      <w:pPr>
        <w:pStyle w:val="BulletGuide"/>
        <w:numPr>
          <w:ilvl w:val="0"/>
          <w:numId w:val="80"/>
        </w:numPr>
      </w:pPr>
      <w:r>
        <w:t>Published brain-model code: https://github.com/philshiu/Drosophila_brain_model</w:t>
      </w:r>
    </w:p>
    <w:p>
      <w:pPr>
        <w:pStyle w:val="BulletGuide"/>
        <w:numPr>
          <w:ilvl w:val="0"/>
          <w:numId w:val="80"/>
        </w:numPr>
      </w:pPr>
      <w:r>
        <w:t>Vision-model code: https://github.com/TuragaLab/flyvis</w:t>
      </w:r>
    </w:p>
    <w:p>
      <w:pPr>
        <w:pStyle w:val="BulletGuide"/>
        <w:numPr>
          <w:ilvl w:val="0"/>
          <w:numId w:val="80"/>
        </w:numPr>
      </w:pPr>
      <w:r>
        <w:t>Embodiment methods and limitations: https://eon.systems/updates/embodied-brain-emulation</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t xml:space="preserve">8 September 2026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FLYWORLD  /  ORBOFI AGENT HANDOFF</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80">
    <w:lvl w:ilvl="0">
      <w:start w:val="1"/>
      <w:numFmt w:val="bullet"/>
      <w:lvlText w:val="•"/>
      <w:lvlJc w:val="left"/>
      <w:pPr>
        <w:ind w:left="540" w:hanging="271"/>
        <w:tabs>
          <w:tab w:val="num" w:pos="540"/>
        </w:tabs>
      </w:pPr>
    </w:lvl>
  </w:abstractNum>
  <w:num w:numId="80">
    <w:abstractNumId w:val="80"/>
  </w:num>
  <w:abstractNum w:abstractNumId="81">
    <w:lvl w:ilvl="0">
      <w:start w:val="1"/>
      <w:numFmt w:val="decimal"/>
      <w:lvlText w:val="%1."/>
      <w:lvlJc w:val="left"/>
      <w:pPr>
        <w:ind w:left="540" w:hanging="271"/>
        <w:tabs>
          <w:tab w:val="num" w:pos="540"/>
        </w:tabs>
      </w:pPr>
    </w:lvl>
  </w:abstractNum>
  <w:num w:numId="81">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300" w:lineRule="auto"/>
    </w:pPr>
    <w:rPr>
      <w:rFonts w:ascii="Calibri" w:hAnsi="Calibri"/>
      <w:b w:val="0"/>
      <w:color w:val="202830"/>
      <w:sz w:val="22"/>
    </w:rPr>
  </w:style>
  <w:style w:type="paragraph" w:styleId="Header">
    <w:name w:val="header"/>
    <w:basedOn w:val="Normal"/>
    <w:link w:val="HeaderChar"/>
    <w:uiPriority w:val="99"/>
    <w:unhideWhenUsed/>
    <w:rsid w:val="00E618BF"/>
    <w:pPr>
      <w:widowControl/>
      <w:tabs>
        <w:tab w:val="center" w:pos="4680"/>
        <w:tab w:val="right" w:pos="9360"/>
      </w:tabs>
      <w:spacing w:after="0" w:line="240" w:lineRule="auto" w:before="0"/>
    </w:pPr>
    <w:rPr>
      <w:rFonts w:ascii="Calibri" w:hAnsi="Calibri"/>
      <w:b w:val="0"/>
      <w:color w:val="66727A"/>
      <w:sz w:val="18"/>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widowControl/>
      <w:tabs>
        <w:tab w:val="center" w:pos="4680"/>
        <w:tab w:val="right" w:pos="9360"/>
      </w:tabs>
      <w:spacing w:after="0" w:line="240" w:lineRule="auto" w:before="0"/>
    </w:pPr>
    <w:rPr>
      <w:rFonts w:ascii="Calibri" w:hAnsi="Calibri"/>
      <w:b w:val="0"/>
      <w:color w:val="66727A"/>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360" w:after="200" w:line="300" w:lineRule="auto"/>
      <w:outlineLvl w:val="0"/>
    </w:pPr>
    <w:rPr>
      <w:rFonts w:asciiTheme="majorHAnsi" w:eastAsiaTheme="majorEastAsia" w:hAnsiTheme="majorHAnsi" w:cstheme="majorBidi" w:ascii="Calibri" w:hAnsi="Calibri"/>
      <w:b w:val="0"/>
      <w:bCs/>
      <w:color w:val="2E74B5"/>
      <w:sz w:val="32"/>
      <w:szCs w:val="28"/>
    </w:rPr>
  </w:style>
  <w:style w:type="paragraph" w:styleId="Heading2">
    <w:name w:val="heading 2"/>
    <w:basedOn w:val="Normal"/>
    <w:next w:val="Normal"/>
    <w:link w:val="Heading2Char"/>
    <w:uiPriority w:val="9"/>
    <w:unhideWhenUsed/>
    <w:qFormat/>
    <w:rsid w:val="00FC693F"/>
    <w:pPr>
      <w:keepNext/>
      <w:keepLines/>
      <w:widowControl/>
      <w:spacing w:before="280" w:after="140" w:line="300" w:lineRule="auto"/>
      <w:outlineLvl w:val="1"/>
    </w:pPr>
    <w:rPr>
      <w:rFonts w:asciiTheme="majorHAnsi" w:eastAsiaTheme="majorEastAsia" w:hAnsiTheme="majorHAnsi" w:cstheme="majorBidi" w:ascii="Calibri" w:hAnsi="Calibri"/>
      <w:b w:val="0"/>
      <w:bCs/>
      <w:color w:val="2E74B5"/>
      <w:sz w:val="26"/>
      <w:szCs w:val="26"/>
    </w:rPr>
  </w:style>
  <w:style w:type="paragraph" w:styleId="Heading3">
    <w:name w:val="heading 3"/>
    <w:basedOn w:val="Normal"/>
    <w:next w:val="Normal"/>
    <w:link w:val="Heading3Char"/>
    <w:uiPriority w:val="9"/>
    <w:unhideWhenUsed/>
    <w:qFormat/>
    <w:rsid w:val="00FC693F"/>
    <w:pPr>
      <w:keepNext/>
      <w:keepLines/>
      <w:widowControl/>
      <w:spacing w:before="200" w:after="100" w:line="300" w:lineRule="auto"/>
      <w:outlineLvl w:val="2"/>
    </w:pPr>
    <w:rPr>
      <w:rFonts w:asciiTheme="majorHAnsi" w:eastAsiaTheme="majorEastAsia" w:hAnsiTheme="majorHAnsi" w:cstheme="majorBidi" w:ascii="Calibri" w:hAnsi="Calibri"/>
      <w:b w:val="0"/>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widowControl/>
      <w:spacing w:after="200" w:line="264" w:lineRule="auto" w:before="0"/>
      <w:contextualSpacing/>
    </w:pPr>
    <w:rPr>
      <w:rFonts w:asciiTheme="majorHAnsi" w:eastAsiaTheme="majorEastAsia" w:hAnsiTheme="majorHAnsi" w:cstheme="majorBidi" w:ascii="Calibri" w:hAnsi="Calibri"/>
      <w:b/>
      <w:color w:val="0B2545"/>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widowControl/>
      <w:numPr>
        <w:ilvl w:val="1"/>
      </w:numPr>
      <w:spacing w:before="0" w:after="200" w:line="300" w:lineRule="auto"/>
    </w:pPr>
    <w:rPr>
      <w:rFonts w:asciiTheme="majorHAnsi" w:eastAsiaTheme="majorEastAsia" w:hAnsiTheme="majorHAnsi" w:cstheme="majorBidi" w:ascii="Calibri" w:hAnsi="Calibri"/>
      <w:b w:val="0"/>
      <w:i/>
      <w:iCs/>
      <w:color w:val="66727A"/>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pPr>
      <w:widowControl/>
      <w:spacing w:before="60" w:after="60" w:line="240" w:lineRule="auto"/>
    </w:pPr>
    <w:rPr>
      <w:rFonts w:ascii="DejaVu Sans Mono" w:hAnsi="DejaVu Sans Mono"/>
      <w:b w:val="0"/>
      <w:color w:val="203747"/>
      <w:sz w:val="17"/>
    </w:rPr>
  </w:style>
  <w:style w:type="paragraph" w:customStyle="1" w:styleId="TableText">
    <w:name w:val="Table Text"/>
    <w:pPr>
      <w:widowControl/>
      <w:spacing w:before="0" w:after="80" w:line="240" w:lineRule="auto"/>
    </w:pPr>
    <w:rPr>
      <w:rFonts w:ascii="Calibri" w:hAnsi="Calibri"/>
      <w:b w:val="0"/>
      <w:color w:val="202830"/>
      <w:sz w:val="18"/>
    </w:rPr>
  </w:style>
  <w:style w:type="paragraph" w:customStyle="1" w:styleId="BulletGuide">
    <w:name w:val="Bullet Guide"/>
    <w:pPr>
      <w:widowControl/>
      <w:spacing w:before="0" w:after="80" w:line="300" w:lineRule="auto"/>
      <w:ind w:left="540" w:hanging="271"/>
    </w:pPr>
    <w:rPr>
      <w:rFonts w:ascii="Calibri" w:hAnsi="Calibri"/>
      <w:b w:val="0"/>
      <w:color w:val="202830"/>
      <w:sz w:val="22"/>
    </w:rPr>
  </w:style>
  <w:style w:type="paragraph" w:customStyle="1" w:styleId="NumberGuide">
    <w:name w:val="Number Guide"/>
    <w:pPr>
      <w:widowControl/>
      <w:spacing w:before="0" w:after="80" w:line="300" w:lineRule="auto"/>
      <w:ind w:left="540" w:hanging="271"/>
    </w:pPr>
    <w:rPr>
      <w:rFonts w:ascii="Calibri" w:hAnsi="Calibri"/>
      <w:b w:val="0"/>
      <w:color w:val="202830"/>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